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6B4" w:rsidRDefault="003B2DA3">
      <w:pPr>
        <w:rPr>
          <w:sz w:val="16"/>
          <w:szCs w:val="16"/>
          <w:lang w:val="en-US"/>
        </w:rPr>
      </w:pPr>
      <w:bookmarkStart w:id="0" w:name="_GoBack"/>
      <w:bookmarkEnd w:id="0"/>
      <w:r>
        <w:rPr>
          <w:b/>
          <w:sz w:val="28"/>
          <w:szCs w:val="28"/>
        </w:rPr>
        <w:t>ΕΝΤΥΠΟ  Α</w:t>
      </w:r>
    </w:p>
    <w:tbl>
      <w:tblPr>
        <w:tblW w:w="11563" w:type="dxa"/>
        <w:tblInd w:w="-1000" w:type="dxa"/>
        <w:tblLayout w:type="fixed"/>
        <w:tblLook w:val="04A0" w:firstRow="1" w:lastRow="0" w:firstColumn="1" w:lastColumn="0" w:noHBand="0" w:noVBand="1"/>
      </w:tblPr>
      <w:tblGrid>
        <w:gridCol w:w="2807"/>
        <w:gridCol w:w="2178"/>
        <w:gridCol w:w="3350"/>
        <w:gridCol w:w="761"/>
        <w:gridCol w:w="1749"/>
        <w:gridCol w:w="718"/>
      </w:tblGrid>
      <w:tr w:rsidR="008846B4">
        <w:trPr>
          <w:trHeight w:val="52"/>
        </w:trPr>
        <w:tc>
          <w:tcPr>
            <w:tcW w:w="2807" w:type="dxa"/>
          </w:tcPr>
          <w:p w:rsidR="008846B4" w:rsidRDefault="003B2DA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178" w:type="dxa"/>
          </w:tcPr>
          <w:p w:rsidR="008846B4" w:rsidRDefault="008846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8846B4" w:rsidRDefault="008846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8846B4" w:rsidRDefault="008846B4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467" w:type="dxa"/>
            <w:gridSpan w:val="2"/>
          </w:tcPr>
          <w:p w:rsidR="008846B4" w:rsidRDefault="008846B4">
            <w:pPr>
              <w:spacing w:after="0" w:line="240" w:lineRule="auto"/>
              <w:ind w:left="1026"/>
              <w:jc w:val="right"/>
              <w:rPr>
                <w:sz w:val="24"/>
                <w:szCs w:val="24"/>
              </w:rPr>
            </w:pPr>
          </w:p>
        </w:tc>
      </w:tr>
      <w:tr w:rsidR="008846B4">
        <w:trPr>
          <w:trHeight w:val="510"/>
        </w:trPr>
        <w:tc>
          <w:tcPr>
            <w:tcW w:w="2807" w:type="dxa"/>
          </w:tcPr>
          <w:p w:rsidR="008846B4" w:rsidRDefault="008846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8" w:type="dxa"/>
          </w:tcPr>
          <w:p w:rsidR="008846B4" w:rsidRDefault="008846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</w:tcPr>
          <w:p w:rsidR="008846B4" w:rsidRDefault="008846B4">
            <w:pPr>
              <w:spacing w:after="0" w:line="240" w:lineRule="auto"/>
              <w:jc w:val="right"/>
              <w:rPr>
                <w:color w:val="A6A6A6"/>
                <w:sz w:val="24"/>
                <w:szCs w:val="24"/>
              </w:rPr>
            </w:pPr>
          </w:p>
        </w:tc>
        <w:tc>
          <w:tcPr>
            <w:tcW w:w="718" w:type="dxa"/>
          </w:tcPr>
          <w:p w:rsidR="008846B4" w:rsidRDefault="008846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8846B4">
        <w:trPr>
          <w:trHeight w:val="80"/>
        </w:trPr>
        <w:tc>
          <w:tcPr>
            <w:tcW w:w="2807" w:type="dxa"/>
          </w:tcPr>
          <w:p w:rsidR="008846B4" w:rsidRDefault="003B2DA3">
            <w:pPr>
              <w:spacing w:after="0" w:line="240" w:lineRule="auto"/>
              <w:ind w:left="291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8846B4" w:rsidRDefault="003B2DA3">
            <w:pPr>
              <w:spacing w:after="0" w:line="240" w:lineRule="auto"/>
              <w:ind w:left="29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2178" w:type="dxa"/>
          </w:tcPr>
          <w:p w:rsidR="008846B4" w:rsidRDefault="008846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3"/>
          </w:tcPr>
          <w:p w:rsidR="008846B4" w:rsidRDefault="008846B4">
            <w:pPr>
              <w:spacing w:after="0" w:line="240" w:lineRule="auto"/>
              <w:rPr>
                <w:lang w:eastAsia="el-GR"/>
              </w:rPr>
            </w:pPr>
          </w:p>
        </w:tc>
        <w:tc>
          <w:tcPr>
            <w:tcW w:w="718" w:type="dxa"/>
          </w:tcPr>
          <w:p w:rsidR="008846B4" w:rsidRDefault="008846B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8846B4" w:rsidRDefault="003B2DA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ΕΝΗΜΕΡΩΤΙΚΗ ΕΠΙΣΤΟΛΗ</w:t>
      </w:r>
    </w:p>
    <w:p w:rsidR="008846B4" w:rsidRDefault="003B2DA3">
      <w:pPr>
        <w:jc w:val="center"/>
        <w:rPr>
          <w:rFonts w:cs="Arial"/>
        </w:rPr>
      </w:pPr>
      <w:r>
        <w:rPr>
          <w:rFonts w:cs="Arial"/>
        </w:rPr>
        <w:t>Προς τους Γονείς και Κηδεμόνες  μαθητών/</w:t>
      </w:r>
      <w:proofErr w:type="spellStart"/>
      <w:r>
        <w:rPr>
          <w:rFonts w:cs="Arial"/>
        </w:rPr>
        <w:t>τριων</w:t>
      </w:r>
      <w:proofErr w:type="spellEnd"/>
      <w:r>
        <w:rPr>
          <w:rFonts w:cs="Arial"/>
        </w:rPr>
        <w:t xml:space="preserve">  Πρωτοβάθμιας και Δευτεροβάθμιας Εκπαίδευσης</w:t>
      </w:r>
    </w:p>
    <w:p w:rsidR="008846B4" w:rsidRDefault="008846B4">
      <w:pPr>
        <w:spacing w:line="360" w:lineRule="auto"/>
        <w:jc w:val="both"/>
        <w:rPr>
          <w:sz w:val="24"/>
          <w:szCs w:val="24"/>
        </w:rPr>
      </w:pPr>
    </w:p>
    <w:p w:rsidR="008846B4" w:rsidRDefault="003B2D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ο Υπουργείο Υγείας σε συνεργασία με το Υπουργείο Παιδείας, Θρησκευμάτων και Αθλητισμού </w:t>
      </w:r>
      <w:r>
        <w:rPr>
          <w:sz w:val="24"/>
          <w:szCs w:val="24"/>
        </w:rPr>
        <w:t xml:space="preserve">συντονίζει και υλοποιεί δράσεις και παρεμβάσεις στο πλαίσιο αγωγής υγείας σε σχολικές μονάδες σε εθνικό επίπεδο με στόχο την ενημέρωση και </w:t>
      </w:r>
      <w:proofErr w:type="gramStart"/>
      <w:r>
        <w:rPr>
          <w:sz w:val="24"/>
          <w:szCs w:val="24"/>
        </w:rPr>
        <w:t>την  ευαισθητοποίηση</w:t>
      </w:r>
      <w:proofErr w:type="gramEnd"/>
      <w:r>
        <w:rPr>
          <w:sz w:val="24"/>
          <w:szCs w:val="24"/>
        </w:rPr>
        <w:t xml:space="preserve"> του μαθητικού πληθυσμού σε θέματα δημόσιας υγείας.</w:t>
      </w:r>
    </w:p>
    <w:p w:rsidR="008846B4" w:rsidRDefault="003B2DA3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Για το σχολικό έτος 2024-2025 αξιοποιούνται τ</w:t>
      </w:r>
      <w:r>
        <w:rPr>
          <w:sz w:val="24"/>
          <w:szCs w:val="24"/>
        </w:rPr>
        <w:t xml:space="preserve">α ακόλουθα σχετικά εγκριτικά έγγραφα του Υπουργείου Παιδείας, Θρησκευμάτων και Αθλητισμού: </w:t>
      </w:r>
      <w:proofErr w:type="spellStart"/>
      <w:r>
        <w:rPr>
          <w:color w:val="000000" w:themeColor="text1"/>
          <w:sz w:val="24"/>
          <w:szCs w:val="24"/>
        </w:rPr>
        <w:t>α)Το</w:t>
      </w:r>
      <w:proofErr w:type="spellEnd"/>
      <w:r>
        <w:rPr>
          <w:color w:val="000000" w:themeColor="text1"/>
          <w:sz w:val="24"/>
          <w:szCs w:val="24"/>
        </w:rPr>
        <w:t xml:space="preserve"> αρ. </w:t>
      </w:r>
      <w:proofErr w:type="spellStart"/>
      <w:r>
        <w:rPr>
          <w:color w:val="000000" w:themeColor="text1"/>
          <w:sz w:val="24"/>
          <w:szCs w:val="24"/>
        </w:rPr>
        <w:t>πρωτ</w:t>
      </w:r>
      <w:proofErr w:type="spellEnd"/>
      <w:r>
        <w:rPr>
          <w:color w:val="000000" w:themeColor="text1"/>
          <w:sz w:val="24"/>
          <w:szCs w:val="24"/>
        </w:rPr>
        <w:t xml:space="preserve">. Φ.2.1/ΜΓ/60156/125422/Δ7/1.11.2023, με θέμα «Χρονική επέκταση έγκρισης εκπαιδευτικών προγραμμάτων για το σχολικό έτος 2023 - 2024» και β) το αρ. </w:t>
      </w:r>
      <w:proofErr w:type="spellStart"/>
      <w:r>
        <w:rPr>
          <w:color w:val="000000" w:themeColor="text1"/>
          <w:sz w:val="24"/>
          <w:szCs w:val="24"/>
        </w:rPr>
        <w:t>πρωτ</w:t>
      </w:r>
      <w:proofErr w:type="spellEnd"/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Φ.2.1/ΕΧ/60156/6598/Δ7/22.1.2024, με θέμα «Χρονική επέκταση έγκρισης εκπαιδευτικού προγράμματος για το σχολικό έτος 2023 - 2024».  Οι θεματικοί άξονες / παρεμβάσεις </w:t>
      </w:r>
      <w:r>
        <w:rPr>
          <w:sz w:val="24"/>
          <w:szCs w:val="24"/>
        </w:rPr>
        <w:t xml:space="preserve">έχουν λάβει κατά περίπτωση από το </w:t>
      </w:r>
      <w:proofErr w:type="spellStart"/>
      <w:r>
        <w:rPr>
          <w:sz w:val="24"/>
          <w:szCs w:val="24"/>
        </w:rPr>
        <w:t>σχολ</w:t>
      </w:r>
      <w:proofErr w:type="spellEnd"/>
      <w:r>
        <w:rPr>
          <w:sz w:val="24"/>
          <w:szCs w:val="24"/>
        </w:rPr>
        <w:t xml:space="preserve">. έτος  2017 - 2018 συνεχόμενα έως και για το </w:t>
      </w:r>
      <w:r>
        <w:rPr>
          <w:sz w:val="24"/>
          <w:szCs w:val="24"/>
        </w:rPr>
        <w:t>σχολικό έτος 2023 – 2024,</w:t>
      </w:r>
      <w:r>
        <w:rPr>
          <w:color w:val="000000" w:themeColor="text1"/>
          <w:sz w:val="24"/>
          <w:szCs w:val="24"/>
        </w:rPr>
        <w:t xml:space="preserve">  εγκρίσεις από το Υ.ΠΑΙ.Θ.Α. / ΙΕΠ</w:t>
      </w:r>
    </w:p>
    <w:p w:rsidR="008846B4" w:rsidRDefault="003B2DA3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Οι εν λόγω παρεμβάσεις αναπτύσσονται σύμφωνα με το έγγραφο του Υπουργείου Υγείας αρ. </w:t>
      </w:r>
      <w:proofErr w:type="spellStart"/>
      <w:r>
        <w:rPr>
          <w:color w:val="000000" w:themeColor="text1"/>
          <w:sz w:val="24"/>
          <w:szCs w:val="24"/>
        </w:rPr>
        <w:t>πρωτ</w:t>
      </w:r>
      <w:proofErr w:type="spellEnd"/>
      <w:r>
        <w:rPr>
          <w:color w:val="000000" w:themeColor="text1"/>
          <w:sz w:val="24"/>
          <w:szCs w:val="24"/>
        </w:rPr>
        <w:t>. Γ1γ/ΓΦ3.3,13,18Ζ,ΦΑΥ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4,6 (2024)/Γ.Π.οικ. 49436 /18-9-2024   (ΑΔΑ: 6Ν85465ΦΥΟ-ΟΤΔ).</w:t>
      </w:r>
    </w:p>
    <w:p w:rsidR="008846B4" w:rsidRDefault="003B2DA3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Προκειμένου να επιτ</w:t>
      </w:r>
      <w:r>
        <w:rPr>
          <w:sz w:val="24"/>
          <w:szCs w:val="24"/>
        </w:rPr>
        <w:t>ευχθεί η συμμετοχή των μαθητών/</w:t>
      </w:r>
      <w:proofErr w:type="spellStart"/>
      <w:r>
        <w:rPr>
          <w:sz w:val="24"/>
          <w:szCs w:val="24"/>
        </w:rPr>
        <w:t>τριων</w:t>
      </w:r>
      <w:proofErr w:type="spellEnd"/>
      <w:r>
        <w:rPr>
          <w:sz w:val="24"/>
          <w:szCs w:val="24"/>
        </w:rPr>
        <w:t xml:space="preserve"> στην υλοποίηση των δράσεων/παρεμβάσεων σε εθνικό επίπεδο, οι γονείς/κηδεμόνες αυτών καλούνται να συμπληρώνουν το σχετικό έντυπο Β – Συγκατάθεσης (το οποίο διατίθεται και συλλέγεται με ευθύνη των εκπαιδευτικών των Σχολικ</w:t>
      </w:r>
      <w:r>
        <w:rPr>
          <w:sz w:val="24"/>
          <w:szCs w:val="24"/>
        </w:rPr>
        <w:t xml:space="preserve">ών Μονάδων). </w:t>
      </w:r>
    </w:p>
    <w:p w:rsidR="008846B4" w:rsidRDefault="003B2DA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Ευχαριστούμε εκ των προτέρων για την συνεργασία και την συμβολή σας στην επίτευξη του σημαντικού αυτού εγχειρήματος και έργου.</w:t>
      </w:r>
    </w:p>
    <w:p w:rsidR="008846B4" w:rsidRDefault="008846B4">
      <w:pPr>
        <w:spacing w:line="360" w:lineRule="auto"/>
        <w:rPr>
          <w:sz w:val="24"/>
          <w:szCs w:val="24"/>
        </w:rPr>
      </w:pPr>
    </w:p>
    <w:p w:rsidR="008846B4" w:rsidRDefault="003B2DA3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Δ/ΝΣΗ ΠΡΩΤΟΒΑΘΜΙΑΣ ΦΡΟΝΤΙΔΑΣ ΥΓΕΙΑΣ /</w:t>
      </w:r>
    </w:p>
    <w:p w:rsidR="008846B4" w:rsidRDefault="003B2DA3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ΤΜΗΜΑ Γ’ ΑΝΑΠΤΥΞΗΣ ΠΡΟΓΡΑΜΜΑΤΩΝ,  ΑΓΩΓΗΣ ΥΓΕΙΑΣ &amp; ΠΡΟΛΗΨΗΣ </w:t>
      </w:r>
    </w:p>
    <w:p w:rsidR="008846B4" w:rsidRDefault="003B2DA3">
      <w:pPr>
        <w:spacing w:after="0"/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ΓΕΝΙΚΗ ΓΡΑΜΜΑΤΕΙ</w:t>
      </w:r>
      <w:r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Α ΔΗΜΟΣΙΑΣ ΥΓΕΙΑΣ</w:t>
      </w:r>
    </w:p>
    <w:p w:rsidR="008846B4" w:rsidRDefault="003B2DA3">
      <w:pPr>
        <w:spacing w:after="0"/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cs="Calibri"/>
          <w:b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ΥΠΟΥΡΓΕΙΟ ΥΓΕΙΑΣ</w:t>
      </w:r>
    </w:p>
    <w:sectPr w:rsidR="008846B4">
      <w:pgSz w:w="11906" w:h="16838"/>
      <w:pgMar w:top="709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A3" w:rsidRDefault="003B2DA3">
      <w:pPr>
        <w:spacing w:line="240" w:lineRule="auto"/>
      </w:pPr>
      <w:r>
        <w:separator/>
      </w:r>
    </w:p>
  </w:endnote>
  <w:endnote w:type="continuationSeparator" w:id="0">
    <w:p w:rsidR="003B2DA3" w:rsidRDefault="003B2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A3" w:rsidRDefault="003B2DA3">
      <w:pPr>
        <w:spacing w:after="0"/>
      </w:pPr>
      <w:r>
        <w:separator/>
      </w:r>
    </w:p>
  </w:footnote>
  <w:footnote w:type="continuationSeparator" w:id="0">
    <w:p w:rsidR="003B2DA3" w:rsidRDefault="003B2D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4E"/>
    <w:rsid w:val="0001515E"/>
    <w:rsid w:val="00034834"/>
    <w:rsid w:val="00037C4F"/>
    <w:rsid w:val="00063677"/>
    <w:rsid w:val="00097C8C"/>
    <w:rsid w:val="000A3F2A"/>
    <w:rsid w:val="000B07CB"/>
    <w:rsid w:val="000C78A4"/>
    <w:rsid w:val="000E22B3"/>
    <w:rsid w:val="000E401B"/>
    <w:rsid w:val="000F3C09"/>
    <w:rsid w:val="00103A9C"/>
    <w:rsid w:val="001278D2"/>
    <w:rsid w:val="001725A6"/>
    <w:rsid w:val="00177832"/>
    <w:rsid w:val="001836C5"/>
    <w:rsid w:val="00191D6B"/>
    <w:rsid w:val="001B1D5E"/>
    <w:rsid w:val="001C0AFF"/>
    <w:rsid w:val="001D3F33"/>
    <w:rsid w:val="001E0364"/>
    <w:rsid w:val="001E3B90"/>
    <w:rsid w:val="001F5DFD"/>
    <w:rsid w:val="00205845"/>
    <w:rsid w:val="00221F14"/>
    <w:rsid w:val="00223086"/>
    <w:rsid w:val="00225D46"/>
    <w:rsid w:val="00241D40"/>
    <w:rsid w:val="002519DA"/>
    <w:rsid w:val="002551E2"/>
    <w:rsid w:val="002825F7"/>
    <w:rsid w:val="00290B4A"/>
    <w:rsid w:val="002B3978"/>
    <w:rsid w:val="002D617D"/>
    <w:rsid w:val="002E381D"/>
    <w:rsid w:val="002E3947"/>
    <w:rsid w:val="00342FAC"/>
    <w:rsid w:val="00354C23"/>
    <w:rsid w:val="003835BD"/>
    <w:rsid w:val="003B2DA3"/>
    <w:rsid w:val="003D2299"/>
    <w:rsid w:val="003E039E"/>
    <w:rsid w:val="00423A7E"/>
    <w:rsid w:val="00471609"/>
    <w:rsid w:val="004B20A3"/>
    <w:rsid w:val="004B2E7E"/>
    <w:rsid w:val="004C0FA3"/>
    <w:rsid w:val="00504A86"/>
    <w:rsid w:val="00515AF2"/>
    <w:rsid w:val="00523DFB"/>
    <w:rsid w:val="0053729A"/>
    <w:rsid w:val="00544995"/>
    <w:rsid w:val="005A357E"/>
    <w:rsid w:val="005B78D2"/>
    <w:rsid w:val="005C0C65"/>
    <w:rsid w:val="005E10BC"/>
    <w:rsid w:val="00616BFE"/>
    <w:rsid w:val="006271CC"/>
    <w:rsid w:val="0064756F"/>
    <w:rsid w:val="00662836"/>
    <w:rsid w:val="00676DFC"/>
    <w:rsid w:val="006F6FBB"/>
    <w:rsid w:val="006F7047"/>
    <w:rsid w:val="0070070F"/>
    <w:rsid w:val="0073762E"/>
    <w:rsid w:val="00773F1D"/>
    <w:rsid w:val="007A4F03"/>
    <w:rsid w:val="007A6F03"/>
    <w:rsid w:val="007A74F0"/>
    <w:rsid w:val="007C1283"/>
    <w:rsid w:val="007C2F54"/>
    <w:rsid w:val="007C7E90"/>
    <w:rsid w:val="007D223F"/>
    <w:rsid w:val="00826F65"/>
    <w:rsid w:val="00833512"/>
    <w:rsid w:val="008602EE"/>
    <w:rsid w:val="00875413"/>
    <w:rsid w:val="008846B4"/>
    <w:rsid w:val="00896DFE"/>
    <w:rsid w:val="008A3326"/>
    <w:rsid w:val="008C2CCE"/>
    <w:rsid w:val="008E449D"/>
    <w:rsid w:val="00904AED"/>
    <w:rsid w:val="009246CC"/>
    <w:rsid w:val="009534DE"/>
    <w:rsid w:val="00966F13"/>
    <w:rsid w:val="00977E1F"/>
    <w:rsid w:val="009C6D2C"/>
    <w:rsid w:val="00A440ED"/>
    <w:rsid w:val="00A601CD"/>
    <w:rsid w:val="00A61F43"/>
    <w:rsid w:val="00A62B72"/>
    <w:rsid w:val="00A7615A"/>
    <w:rsid w:val="00A822C0"/>
    <w:rsid w:val="00A82E3E"/>
    <w:rsid w:val="00A87A89"/>
    <w:rsid w:val="00AA50CB"/>
    <w:rsid w:val="00AD7034"/>
    <w:rsid w:val="00B00DAE"/>
    <w:rsid w:val="00B32B8F"/>
    <w:rsid w:val="00B51383"/>
    <w:rsid w:val="00B54695"/>
    <w:rsid w:val="00B57B52"/>
    <w:rsid w:val="00B6013B"/>
    <w:rsid w:val="00B97886"/>
    <w:rsid w:val="00BB4A45"/>
    <w:rsid w:val="00BC1C28"/>
    <w:rsid w:val="00BF4AB6"/>
    <w:rsid w:val="00C31119"/>
    <w:rsid w:val="00C36139"/>
    <w:rsid w:val="00C36C6C"/>
    <w:rsid w:val="00C44065"/>
    <w:rsid w:val="00C46E22"/>
    <w:rsid w:val="00C66413"/>
    <w:rsid w:val="00C970B1"/>
    <w:rsid w:val="00CB2517"/>
    <w:rsid w:val="00CC31CC"/>
    <w:rsid w:val="00D33722"/>
    <w:rsid w:val="00D415E4"/>
    <w:rsid w:val="00D5202F"/>
    <w:rsid w:val="00D6223A"/>
    <w:rsid w:val="00D63A89"/>
    <w:rsid w:val="00D66FA7"/>
    <w:rsid w:val="00D762E9"/>
    <w:rsid w:val="00D77333"/>
    <w:rsid w:val="00DA67C6"/>
    <w:rsid w:val="00DC0649"/>
    <w:rsid w:val="00DE01A7"/>
    <w:rsid w:val="00DE06A8"/>
    <w:rsid w:val="00DE4B97"/>
    <w:rsid w:val="00DF0500"/>
    <w:rsid w:val="00DF515B"/>
    <w:rsid w:val="00E017BB"/>
    <w:rsid w:val="00E13A0A"/>
    <w:rsid w:val="00E20620"/>
    <w:rsid w:val="00E26849"/>
    <w:rsid w:val="00E3799E"/>
    <w:rsid w:val="00E77F21"/>
    <w:rsid w:val="00E8751E"/>
    <w:rsid w:val="00EA7B6E"/>
    <w:rsid w:val="00F06618"/>
    <w:rsid w:val="00F12C4E"/>
    <w:rsid w:val="00F1309C"/>
    <w:rsid w:val="00F25A2C"/>
    <w:rsid w:val="00F63A6D"/>
    <w:rsid w:val="00F76E2C"/>
    <w:rsid w:val="00FC1C06"/>
    <w:rsid w:val="00FC22D2"/>
    <w:rsid w:val="0D1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0" w:unhideWhenUsed="0"/>
    <w:lsdException w:name="caption" w:locked="1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Char"/>
    <w:qFormat/>
    <w:locked/>
    <w:pPr>
      <w:spacing w:before="100" w:beforeAutospacing="1" w:after="100" w:afterAutospacing="1" w:line="240" w:lineRule="auto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styleId="a4">
    <w:name w:val="annotation reference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rPr>
      <w:b/>
      <w:bCs/>
    </w:rPr>
  </w:style>
  <w:style w:type="character" w:styleId="a7">
    <w:name w:val="Strong"/>
    <w:qFormat/>
    <w:locked/>
    <w:rPr>
      <w:rFonts w:cs="Times New Roman"/>
      <w:b/>
      <w:bCs/>
    </w:rPr>
  </w:style>
  <w:style w:type="table" w:styleId="a8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link w:val="3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Char">
    <w:name w:val="Κείμενο πλαισίου Char"/>
    <w:link w:val="a3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har0">
    <w:name w:val="Κείμενο σχολίου Char"/>
    <w:link w:val="a5"/>
    <w:rPr>
      <w:rFonts w:eastAsia="Times New Roman"/>
      <w:lang w:eastAsia="en-US"/>
    </w:rPr>
  </w:style>
  <w:style w:type="character" w:customStyle="1" w:styleId="Char1">
    <w:name w:val="Θέμα σχολίου Char"/>
    <w:link w:val="a6"/>
    <w:rPr>
      <w:rFonts w:eastAsia="Times New Roman"/>
      <w:b/>
      <w:bCs/>
      <w:lang w:eastAsia="en-US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vertAlign w:val="superscript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0" w:unhideWhenUsed="0"/>
    <w:lsdException w:name="caption" w:locked="1" w:qFormat="1"/>
    <w:lsdException w:name="annotation reference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Char"/>
    <w:qFormat/>
    <w:locked/>
    <w:pPr>
      <w:spacing w:before="100" w:beforeAutospacing="1" w:after="100" w:afterAutospacing="1" w:line="240" w:lineRule="auto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styleId="a4">
    <w:name w:val="annotation reference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rPr>
      <w:b/>
      <w:bCs/>
    </w:rPr>
  </w:style>
  <w:style w:type="character" w:styleId="a7">
    <w:name w:val="Strong"/>
    <w:qFormat/>
    <w:locked/>
    <w:rPr>
      <w:rFonts w:cs="Times New Roman"/>
      <w:b/>
      <w:bCs/>
    </w:rPr>
  </w:style>
  <w:style w:type="table" w:styleId="a8">
    <w:name w:val="Table Grid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link w:val="3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Char">
    <w:name w:val="Κείμενο πλαισίου Char"/>
    <w:link w:val="a3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har0">
    <w:name w:val="Κείμενο σχολίου Char"/>
    <w:link w:val="a5"/>
    <w:rPr>
      <w:rFonts w:eastAsia="Times New Roman"/>
      <w:lang w:eastAsia="en-US"/>
    </w:rPr>
  </w:style>
  <w:style w:type="character" w:customStyle="1" w:styleId="Char1">
    <w:name w:val="Θέμα σχολίου Char"/>
    <w:link w:val="a6"/>
    <w:rPr>
      <w:rFonts w:eastAsia="Times New Roman"/>
      <w:b/>
      <w:bCs/>
      <w:lang w:eastAsia="en-US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vertAlign w:val="superscript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Βασιλεία Τυροβολά</dc:creator>
  <cp:lastModifiedBy>pansga</cp:lastModifiedBy>
  <cp:revision>2</cp:revision>
  <cp:lastPrinted>2024-09-09T10:10:00Z</cp:lastPrinted>
  <dcterms:created xsi:type="dcterms:W3CDTF">2024-10-27T06:12:00Z</dcterms:created>
  <dcterms:modified xsi:type="dcterms:W3CDTF">2024-10-27T06:12:00Z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A71AF4BB5BE943A7B2087D8C71FFFEBC_13</vt:lpwstr>
  </property>
</Properties>
</file>